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422" w:rsidRPr="000959FF" w:rsidRDefault="002453CF" w:rsidP="00832AD7">
      <w:pPr>
        <w:spacing w:after="0" w:line="240" w:lineRule="auto"/>
        <w:rPr>
          <w:rFonts w:ascii="David" w:hAnsi="David" w:cs="David"/>
          <w:b/>
          <w:bCs/>
          <w:rtl/>
        </w:rPr>
      </w:pPr>
      <w:bookmarkStart w:id="0" w:name="_GoBack"/>
      <w:bookmarkEnd w:id="0"/>
      <w:r w:rsidRPr="000959FF">
        <w:rPr>
          <w:rFonts w:ascii="David" w:hAnsi="David" w:cs="David"/>
          <w:b/>
          <w:bCs/>
          <w:rtl/>
        </w:rPr>
        <w:t xml:space="preserve">                                 </w:t>
      </w:r>
      <w:r w:rsidR="006B7B96" w:rsidRPr="000959FF">
        <w:rPr>
          <w:rFonts w:ascii="David" w:hAnsi="David" w:cs="David"/>
          <w:b/>
          <w:bCs/>
          <w:rtl/>
        </w:rPr>
        <w:t xml:space="preserve">           </w:t>
      </w:r>
      <w:r w:rsidR="00631744" w:rsidRPr="000959FF">
        <w:rPr>
          <w:rFonts w:ascii="David" w:hAnsi="David" w:cs="David"/>
          <w:b/>
          <w:bCs/>
          <w:rtl/>
        </w:rPr>
        <w:t xml:space="preserve">           </w:t>
      </w:r>
      <w:r w:rsidR="006C3B1F" w:rsidRPr="000959FF">
        <w:rPr>
          <w:rFonts w:ascii="David" w:hAnsi="David" w:cs="David"/>
          <w:b/>
          <w:bCs/>
          <w:rtl/>
        </w:rPr>
        <w:t xml:space="preserve">   </w:t>
      </w:r>
      <w:r w:rsidRPr="000959FF">
        <w:rPr>
          <w:rFonts w:ascii="David" w:hAnsi="David" w:cs="David"/>
          <w:b/>
          <w:bCs/>
          <w:rtl/>
        </w:rPr>
        <w:t xml:space="preserve">  </w:t>
      </w:r>
      <w:r w:rsidR="001D42A7" w:rsidRPr="000959FF">
        <w:rPr>
          <w:rFonts w:ascii="David" w:hAnsi="David" w:cs="David"/>
          <w:b/>
          <w:bCs/>
          <w:rtl/>
        </w:rPr>
        <w:t xml:space="preserve">  </w:t>
      </w:r>
    </w:p>
    <w:p w:rsidR="00983123" w:rsidRPr="000959FF" w:rsidRDefault="00983123" w:rsidP="002A5324">
      <w:pPr>
        <w:spacing w:after="0" w:line="240" w:lineRule="auto"/>
        <w:jc w:val="right"/>
        <w:rPr>
          <w:rFonts w:ascii="David" w:eastAsia="Times New Roman" w:hAnsi="David" w:cs="David"/>
        </w:rPr>
      </w:pPr>
      <w:r w:rsidRPr="000959FF">
        <w:rPr>
          <w:rFonts w:ascii="David" w:eastAsia="Times New Roman" w:hAnsi="David" w:cs="David"/>
          <w:rtl/>
        </w:rPr>
        <w:fldChar w:fldCharType="begin"/>
      </w:r>
      <w:r w:rsidRPr="000959FF">
        <w:rPr>
          <w:rFonts w:ascii="David" w:eastAsia="Times New Roman" w:hAnsi="David" w:cs="David"/>
          <w:rtl/>
        </w:rPr>
        <w:instrText xml:space="preserve"> </w:instrText>
      </w:r>
      <w:r w:rsidRPr="000959FF">
        <w:rPr>
          <w:rFonts w:ascii="David" w:eastAsia="Times New Roman" w:hAnsi="David" w:cs="David"/>
        </w:rPr>
        <w:instrText>DOCPROPERTY  DocDateEng  \* MERGEFORMAT</w:instrText>
      </w:r>
      <w:r w:rsidRPr="000959FF">
        <w:rPr>
          <w:rFonts w:ascii="David" w:eastAsia="Times New Roman" w:hAnsi="David" w:cs="David"/>
          <w:rtl/>
        </w:rPr>
        <w:instrText xml:space="preserve"> </w:instrText>
      </w:r>
      <w:r w:rsidRPr="000959FF">
        <w:rPr>
          <w:rFonts w:ascii="David" w:eastAsia="Times New Roman" w:hAnsi="David" w:cs="David"/>
          <w:rtl/>
        </w:rPr>
        <w:fldChar w:fldCharType="separate"/>
      </w:r>
      <w:r w:rsidRPr="000959FF">
        <w:rPr>
          <w:rFonts w:ascii="David" w:eastAsia="Times New Roman" w:hAnsi="David" w:cs="David"/>
          <w:rtl/>
        </w:rPr>
        <w:t>09 באוגוסט 2023</w:t>
      </w:r>
      <w:r w:rsidRPr="000959FF">
        <w:rPr>
          <w:rFonts w:ascii="David" w:eastAsia="Times New Roman" w:hAnsi="David" w:cs="David"/>
          <w:rtl/>
        </w:rPr>
        <w:fldChar w:fldCharType="end"/>
      </w:r>
      <w:r w:rsidR="002A5324">
        <w:rPr>
          <w:rFonts w:ascii="David" w:eastAsia="Times New Roman" w:hAnsi="David" w:cs="David" w:hint="cs"/>
          <w:rtl/>
        </w:rPr>
        <w:t xml:space="preserve"> | </w:t>
      </w:r>
      <w:r w:rsidR="002A5324" w:rsidRPr="000959FF">
        <w:rPr>
          <w:rFonts w:ascii="David" w:eastAsia="Times New Roman" w:hAnsi="David" w:cs="David"/>
          <w:rtl/>
        </w:rPr>
        <w:t xml:space="preserve">  </w:t>
      </w:r>
      <w:r w:rsidR="002A5324" w:rsidRPr="000959FF">
        <w:rPr>
          <w:rFonts w:ascii="David" w:eastAsia="Times New Roman" w:hAnsi="David" w:cs="David"/>
          <w:rtl/>
        </w:rPr>
        <w:fldChar w:fldCharType="begin"/>
      </w:r>
      <w:r w:rsidR="002A5324" w:rsidRPr="000959FF">
        <w:rPr>
          <w:rFonts w:ascii="David" w:eastAsia="Times New Roman" w:hAnsi="David" w:cs="David"/>
          <w:rtl/>
        </w:rPr>
        <w:instrText xml:space="preserve"> </w:instrText>
      </w:r>
      <w:r w:rsidR="002A5324" w:rsidRPr="000959FF">
        <w:rPr>
          <w:rFonts w:ascii="David" w:eastAsia="Times New Roman" w:hAnsi="David" w:cs="David"/>
        </w:rPr>
        <w:instrText>DOCPROPERTY  DocDateHeb  \* MERGEFORMAT</w:instrText>
      </w:r>
      <w:r w:rsidR="002A5324" w:rsidRPr="000959FF">
        <w:rPr>
          <w:rFonts w:ascii="David" w:eastAsia="Times New Roman" w:hAnsi="David" w:cs="David"/>
          <w:rtl/>
        </w:rPr>
        <w:instrText xml:space="preserve"> </w:instrText>
      </w:r>
      <w:r w:rsidR="002A5324" w:rsidRPr="000959FF">
        <w:rPr>
          <w:rFonts w:ascii="David" w:eastAsia="Times New Roman" w:hAnsi="David" w:cs="David"/>
          <w:rtl/>
        </w:rPr>
        <w:fldChar w:fldCharType="separate"/>
      </w:r>
      <w:r w:rsidR="002A5324" w:rsidRPr="000959FF">
        <w:rPr>
          <w:rFonts w:ascii="David" w:eastAsia="Times New Roman" w:hAnsi="David" w:cs="David"/>
          <w:rtl/>
        </w:rPr>
        <w:t>כ"ב באב תשפ"ג</w:t>
      </w:r>
      <w:r w:rsidR="002A5324" w:rsidRPr="000959FF">
        <w:rPr>
          <w:rFonts w:ascii="David" w:eastAsia="Times New Roman" w:hAnsi="David" w:cs="David"/>
          <w:rtl/>
        </w:rPr>
        <w:fldChar w:fldCharType="end"/>
      </w:r>
      <w:r w:rsidR="002A5324">
        <w:rPr>
          <w:rFonts w:ascii="David" w:eastAsia="Times New Roman" w:hAnsi="David" w:cs="David" w:hint="cs"/>
          <w:rtl/>
        </w:rPr>
        <w:t xml:space="preserve"> | </w:t>
      </w:r>
      <w:r w:rsidR="002A5324" w:rsidRPr="000959FF">
        <w:rPr>
          <w:rFonts w:ascii="David" w:eastAsia="Times New Roman" w:hAnsi="David" w:cs="David"/>
          <w:rtl/>
        </w:rPr>
        <w:fldChar w:fldCharType="begin"/>
      </w:r>
      <w:r w:rsidR="002A5324" w:rsidRPr="000959FF">
        <w:rPr>
          <w:rFonts w:ascii="David" w:eastAsia="Times New Roman" w:hAnsi="David" w:cs="David"/>
          <w:rtl/>
        </w:rPr>
        <w:instrText xml:space="preserve"> </w:instrText>
      </w:r>
      <w:r w:rsidR="002A5324" w:rsidRPr="000959FF">
        <w:rPr>
          <w:rFonts w:ascii="David" w:eastAsia="Times New Roman" w:hAnsi="David" w:cs="David"/>
        </w:rPr>
        <w:instrText>DOCPROPERTY  DocNumber  \* MERGEFORMAT</w:instrText>
      </w:r>
      <w:r w:rsidR="002A5324" w:rsidRPr="000959FF">
        <w:rPr>
          <w:rFonts w:ascii="David" w:eastAsia="Times New Roman" w:hAnsi="David" w:cs="David"/>
          <w:rtl/>
        </w:rPr>
        <w:instrText xml:space="preserve"> </w:instrText>
      </w:r>
      <w:r w:rsidR="002A5324" w:rsidRPr="000959FF">
        <w:rPr>
          <w:rFonts w:ascii="David" w:eastAsia="Times New Roman" w:hAnsi="David" w:cs="David"/>
          <w:rtl/>
        </w:rPr>
        <w:fldChar w:fldCharType="separate"/>
      </w:r>
      <w:r w:rsidR="002A5324" w:rsidRPr="000959FF">
        <w:rPr>
          <w:rFonts w:ascii="David" w:eastAsia="Times New Roman" w:hAnsi="David" w:cs="David"/>
          <w:rtl/>
        </w:rPr>
        <w:t>4700-1039-2023-007051</w:t>
      </w:r>
      <w:r w:rsidR="002A5324" w:rsidRPr="000959FF">
        <w:rPr>
          <w:rFonts w:ascii="David" w:eastAsia="Times New Roman" w:hAnsi="David" w:cs="David"/>
          <w:rtl/>
        </w:rPr>
        <w:fldChar w:fldCharType="end"/>
      </w:r>
    </w:p>
    <w:p w:rsidR="00515986" w:rsidRPr="002A5324" w:rsidRDefault="00983123" w:rsidP="002A5324">
      <w:pPr>
        <w:spacing w:after="0" w:line="240" w:lineRule="auto"/>
        <w:jc w:val="right"/>
        <w:rPr>
          <w:rFonts w:ascii="David" w:eastAsia="Times New Roman" w:hAnsi="David" w:cs="David"/>
          <w:rtl/>
        </w:rPr>
      </w:pPr>
      <w:r w:rsidRPr="000959FF">
        <w:rPr>
          <w:rFonts w:ascii="David" w:eastAsia="Times New Roman" w:hAnsi="David" w:cs="David"/>
          <w:rtl/>
        </w:rPr>
        <w:t xml:space="preserve">                                                                                                 </w:t>
      </w:r>
    </w:p>
    <w:p w:rsidR="000959FF" w:rsidRPr="002A5324" w:rsidRDefault="000959FF" w:rsidP="000959FF">
      <w:pPr>
        <w:jc w:val="center"/>
        <w:rPr>
          <w:rFonts w:ascii="David" w:hAnsi="David" w:cs="David"/>
          <w:b/>
          <w:bCs/>
          <w:sz w:val="24"/>
          <w:szCs w:val="24"/>
          <w:u w:val="single"/>
          <w:rtl/>
        </w:rPr>
      </w:pPr>
      <w:r w:rsidRPr="002A5324">
        <w:rPr>
          <w:rFonts w:ascii="David" w:hAnsi="David" w:cs="David"/>
          <w:b/>
          <w:bCs/>
          <w:sz w:val="24"/>
          <w:szCs w:val="24"/>
          <w:u w:val="single"/>
          <w:rtl/>
        </w:rPr>
        <w:t xml:space="preserve">תקציר הכרעת דין לנאשמים 1, 4 ו-5 בתיק </w:t>
      </w:r>
      <w:sdt>
        <w:sdtPr>
          <w:rPr>
            <w:rFonts w:ascii="David" w:hAnsi="David" w:cs="David"/>
            <w:b/>
            <w:bCs/>
            <w:sz w:val="24"/>
            <w:szCs w:val="24"/>
            <w:u w:val="single"/>
            <w:rtl/>
          </w:rPr>
          <w:alias w:val="1170"/>
          <w:tag w:val="1170"/>
          <w:id w:val="1963692598"/>
          <w:text w:multiLine="1"/>
        </w:sdtPr>
        <w:sdtEndPr/>
        <w:sdtContent>
          <w:r w:rsidRPr="002A5324">
            <w:rPr>
              <w:rFonts w:ascii="David" w:hAnsi="David" w:cs="David"/>
              <w:b/>
              <w:bCs/>
              <w:sz w:val="24"/>
              <w:szCs w:val="24"/>
              <w:u w:val="single"/>
              <w:rtl/>
            </w:rPr>
            <w:t>ת"פ</w:t>
          </w:r>
        </w:sdtContent>
      </w:sdt>
      <w:r w:rsidRPr="002A5324">
        <w:rPr>
          <w:rFonts w:ascii="David" w:hAnsi="David" w:cs="David"/>
          <w:b/>
          <w:bCs/>
          <w:sz w:val="24"/>
          <w:szCs w:val="24"/>
          <w:u w:val="single"/>
          <w:rtl/>
        </w:rPr>
        <w:t xml:space="preserve"> </w:t>
      </w:r>
      <w:sdt>
        <w:sdtPr>
          <w:rPr>
            <w:rFonts w:ascii="David" w:hAnsi="David" w:cs="David"/>
            <w:b/>
            <w:bCs/>
            <w:sz w:val="24"/>
            <w:szCs w:val="24"/>
            <w:u w:val="single"/>
            <w:rtl/>
          </w:rPr>
          <w:alias w:val="1171"/>
          <w:tag w:val="1171"/>
          <w:id w:val="1979638873"/>
          <w:text w:multiLine="1"/>
        </w:sdtPr>
        <w:sdtEndPr/>
        <w:sdtContent>
          <w:r w:rsidRPr="002A5324">
            <w:rPr>
              <w:rFonts w:ascii="David" w:hAnsi="David" w:cs="David"/>
              <w:b/>
              <w:bCs/>
              <w:sz w:val="24"/>
              <w:szCs w:val="24"/>
              <w:u w:val="single"/>
              <w:rtl/>
            </w:rPr>
            <w:t>20614-12-21</w:t>
          </w:r>
        </w:sdtContent>
      </w:sdt>
      <w:r w:rsidRPr="002A5324">
        <w:rPr>
          <w:rFonts w:ascii="David" w:hAnsi="David" w:cs="David"/>
          <w:b/>
          <w:bCs/>
          <w:sz w:val="24"/>
          <w:szCs w:val="24"/>
          <w:u w:val="single"/>
          <w:rtl/>
        </w:rPr>
        <w:t xml:space="preserve"> מדינת ישראל נגד פלונית, </w:t>
      </w:r>
      <w:r w:rsidR="002A5324">
        <w:rPr>
          <w:rFonts w:ascii="David" w:hAnsi="David" w:cs="David" w:hint="cs"/>
          <w:b/>
          <w:bCs/>
          <w:sz w:val="24"/>
          <w:szCs w:val="24"/>
          <w:u w:val="single"/>
          <w:rtl/>
        </w:rPr>
        <w:t xml:space="preserve">בימ"ש המחוזי ירושלים, </w:t>
      </w:r>
      <w:r w:rsidRPr="002A5324">
        <w:rPr>
          <w:rFonts w:ascii="David" w:hAnsi="David" w:cs="David"/>
          <w:b/>
          <w:bCs/>
          <w:sz w:val="24"/>
          <w:szCs w:val="24"/>
          <w:u w:val="single"/>
          <w:rtl/>
        </w:rPr>
        <w:t>השופט אילן סלע</w:t>
      </w:r>
    </w:p>
    <w:p w:rsidR="000959FF" w:rsidRPr="000959FF" w:rsidRDefault="000959FF" w:rsidP="000959FF">
      <w:pPr>
        <w:spacing w:line="360" w:lineRule="auto"/>
        <w:contextualSpacing/>
        <w:jc w:val="both"/>
        <w:rPr>
          <w:rFonts w:ascii="David" w:hAnsi="David" w:cs="David"/>
          <w:b/>
          <w:bCs/>
          <w:rtl/>
        </w:rPr>
      </w:pPr>
      <w:r w:rsidRPr="000959FF">
        <w:rPr>
          <w:rFonts w:ascii="David" w:hAnsi="David" w:cs="David"/>
          <w:b/>
          <w:bCs/>
          <w:rtl/>
        </w:rPr>
        <w:t>אני מזכה את נאשמת 1 ואת נאשם 5 מהמעשים שיוחסו להם בכתב האישום.</w:t>
      </w:r>
    </w:p>
    <w:p w:rsidR="000959FF" w:rsidRPr="000959FF" w:rsidRDefault="000959FF" w:rsidP="000959FF">
      <w:pPr>
        <w:spacing w:line="360" w:lineRule="auto"/>
        <w:contextualSpacing/>
        <w:jc w:val="both"/>
        <w:rPr>
          <w:rFonts w:ascii="David" w:hAnsi="David" w:cs="David"/>
          <w:b/>
          <w:bCs/>
          <w:rtl/>
        </w:rPr>
      </w:pPr>
      <w:r w:rsidRPr="000959FF">
        <w:rPr>
          <w:rFonts w:ascii="David" w:hAnsi="David" w:cs="David"/>
          <w:b/>
          <w:bCs/>
          <w:rtl/>
        </w:rPr>
        <w:t xml:space="preserve">אני מזכה את נאשמת 4 מהעבירה של מסירת ידיעה העלולה להיות לתועלת האויב שיוחסה לה בכתב האישום, אך מרשיע אותה בעבירה של מגע עם סוכן חוץ שיוחסה לה. </w:t>
      </w:r>
    </w:p>
    <w:p w:rsidR="000959FF" w:rsidRPr="000959FF" w:rsidRDefault="000959FF" w:rsidP="000959FF">
      <w:pPr>
        <w:spacing w:line="360" w:lineRule="auto"/>
        <w:jc w:val="both"/>
        <w:rPr>
          <w:rFonts w:ascii="David" w:hAnsi="David" w:cs="David"/>
          <w:rtl/>
        </w:rPr>
      </w:pPr>
      <w:r w:rsidRPr="000959FF">
        <w:rPr>
          <w:rFonts w:ascii="David" w:hAnsi="David" w:cs="David"/>
          <w:rtl/>
        </w:rPr>
        <w:t>העבירות שיוחסו לנאשמות 1 ו-4, כמו גם לנאשם 5 שהואשם בסיוע הן עבירות חמורות שנועדו להגן על ביטחון המדינה, יחסי החוץ שלה וסודות רשמיים. בתוך פרק זה, מצויות העבירות שיוחסו לנאשמים בסימן ד' שכותרתו "ריגול". מעשה הריגול הוא מהמעשים החמורים שבחוק העונשין, לא רק בשל הפגיעה בביטחון המדינה ושלום אזרחיה ותושביה, אלא גם בכך שמדובר במעשה שמתאפיין בהפרה  חמורה של האמון הבסיסי שבין המדינה לאזרחיה. קשה להפריז בחומרת שיתוף פעולה בין אזרח המדינה לבין גופים עוינים ואויבי המדינה, כשאזרח המדינה מסייע לאויב אשר מבקש לפגוע במדינה ובאזרחיה.</w:t>
      </w:r>
      <w:r w:rsidRPr="000959FF">
        <w:rPr>
          <w:rFonts w:ascii="David" w:hAnsi="David" w:cs="David"/>
          <w:b/>
          <w:bCs/>
          <w:rtl/>
        </w:rPr>
        <w:t xml:space="preserve"> </w:t>
      </w:r>
      <w:r w:rsidRPr="000959FF">
        <w:rPr>
          <w:rFonts w:ascii="David" w:hAnsi="David" w:cs="David"/>
          <w:rtl/>
        </w:rPr>
        <w:t>על כן ככלל, הריגול הוא נחלתם של אנשים המזדהים מבחינה רעיונית עם גורמים זרים אשר להם השקפות עולם התואמות את אלו של מוסר הידיעות. על פי רוב, מטרת האנשים המואשמים בעבירות אלו לבין סוכני החוץ היא פגיעה בביטחון המדינה.</w:t>
      </w:r>
    </w:p>
    <w:p w:rsidR="000959FF" w:rsidRPr="000959FF" w:rsidRDefault="000959FF" w:rsidP="000959FF">
      <w:pPr>
        <w:spacing w:line="360" w:lineRule="auto"/>
        <w:jc w:val="both"/>
        <w:rPr>
          <w:rFonts w:ascii="David" w:hAnsi="David" w:cs="David"/>
          <w:rtl/>
        </w:rPr>
      </w:pPr>
      <w:r w:rsidRPr="000959FF">
        <w:rPr>
          <w:rFonts w:ascii="David" w:hAnsi="David" w:cs="David"/>
          <w:rtl/>
        </w:rPr>
        <w:t xml:space="preserve">מקרה זה שבפני הוא שונה. אין ספק כי מדובר באנשים ציוניים, אוהבי המדינה, שלא הייתה להם, ולו בשלב כלשהו, כוונה לפגוע בביטחון המדינה. אין מחלוקת כי תחילתו של הקשר של נאשמות 1 ו- 4 עם מי שנטען כי הוא סוכן חוץ, היה מבלי לדעת את זהותו, ובוודאי שלא מתוך כוונה ליצור קשר עם סוכן חוץ, ובוודאי שלא מתוך כוונה לפגוע בביטחון המדינה. </w:t>
      </w:r>
    </w:p>
    <w:p w:rsidR="000959FF" w:rsidRPr="000959FF" w:rsidRDefault="000959FF" w:rsidP="000959FF">
      <w:pPr>
        <w:spacing w:line="360" w:lineRule="auto"/>
        <w:jc w:val="both"/>
        <w:rPr>
          <w:rFonts w:ascii="David" w:hAnsi="David" w:cs="David"/>
          <w:rtl/>
        </w:rPr>
      </w:pPr>
      <w:r w:rsidRPr="000959FF">
        <w:rPr>
          <w:rFonts w:ascii="David" w:hAnsi="David" w:cs="David"/>
          <w:rtl/>
        </w:rPr>
        <w:t>מקרה זה, יסודו, כך לפי הטענה, בניסיונות משמרות המהפכה האיראנית, המעוניינים על פי הצהרותיהם בהשמדת מדינת ישראל, לגייס אזרחים ישראלים תמימים, תוך יצירת קשר בתחכום רב דרך המרשתת, ובדרכים אחרות. המקרה שלפני, למצער בכל הנוגע לנאשמת 1, כפי שהיה בנוגע לנאשמות 2 ו-3 שזוכו זה מכבר מהעבירות שיוחסו להן, הוא דוגמא חיה לכך. מדובר בנשים שחיפשו חום ואהבה, אוזן קשבת ולעיתים אף סיוע כלכלי, וראמבוד, שנטען כי הוא סוכן חוץ, ניצל זאת בחכמתו, רקם עמם קשר ארוך, ובתחכום רב ובאופן מניפולטיבי, הצליח להפעיל אותן לצרכיו.</w:t>
      </w:r>
    </w:p>
    <w:p w:rsidR="000959FF" w:rsidRPr="000959FF" w:rsidRDefault="000959FF" w:rsidP="000959FF">
      <w:pPr>
        <w:spacing w:line="360" w:lineRule="auto"/>
        <w:jc w:val="both"/>
        <w:rPr>
          <w:rFonts w:ascii="David" w:hAnsi="David" w:cs="David"/>
          <w:rtl/>
        </w:rPr>
      </w:pPr>
      <w:r w:rsidRPr="000959FF">
        <w:rPr>
          <w:rFonts w:ascii="David" w:hAnsi="David" w:cs="David"/>
          <w:rtl/>
        </w:rPr>
        <w:t>בהקשר זה, מדינת ישראל ניצבת בפני אתגר שקשה להפריז בחשיבותו. מדובר באחד האתגרים הגדולים הנצבים לפתחה של המדינה מיום היווסדה. התמודדות מתמדת מול אויב רע ונמהר המכריז מעל כל במה כי בכוונתו לפעול להשמדתה, והוא פועל לשם כך. כוחות הביטחון עושים לילות כימים, פשוטו כמשמעו, כדי לסכל כל ניסיון לאחיזה של מדינה זו בתוככי מדינת ישראל, בכלל זה תוך ניצול חולשתם של אזרחים תמימים תוך תחכום רב.</w:t>
      </w:r>
      <w:r w:rsidRPr="000959FF">
        <w:rPr>
          <w:rFonts w:ascii="David" w:hAnsi="David" w:cs="David"/>
          <w:noProof/>
          <w:rtl/>
        </w:rPr>
        <w:t xml:space="preserve"> ואולם, בשים לב לחומרת העבירה ולמהותה, נדמה כי יש לתחום את השימוש בהליך הפלילי בעבירות אלו למקרים המתאימים ולמנוע הפללת מעשים רבים של אנשים נורמטיביים שעלולים ליפול ברשתם של סוכנים זרים.</w:t>
      </w:r>
      <w:r w:rsidRPr="000959FF">
        <w:rPr>
          <w:rFonts w:ascii="David" w:hAnsi="David" w:cs="David"/>
          <w:rtl/>
        </w:rPr>
        <w:t xml:space="preserve"> לא בהכרח המשפט הפלילי הוא הכלי הנכון להתמודד עם ניסיונות אלו של מדינות עוינות ליצור קשר עם אזרחים תמימים מן השורה.</w:t>
      </w:r>
      <w:r w:rsidRPr="000959FF">
        <w:rPr>
          <w:rFonts w:ascii="David" w:hAnsi="David" w:cs="David"/>
          <w:b/>
          <w:bCs/>
          <w:rtl/>
        </w:rPr>
        <w:t xml:space="preserve"> </w:t>
      </w:r>
      <w:r w:rsidRPr="000959FF">
        <w:rPr>
          <w:rFonts w:ascii="David" w:hAnsi="David" w:cs="David"/>
          <w:rtl/>
        </w:rPr>
        <w:t xml:space="preserve">לא פחותה מהחובה של כוחות הביטחון השונים להגן על ביטחון המדינה ותושביה בדרך של מניעת סיכול ניסיונות ריגול במדינת ישראל כדי למנוע זליגת מידע לאויבינו, קיימת החובה להגן על אזרחים תמימים, אוהבי הארץ והמדינה ומסורים אליה בכל ליבם, שלא יפלו ברשת שטומנים להם אויבנו. הדרך להתמודד עם תופעה מסוכנת זו, היא באמצעות פרסום נרחב, חוזר ונשנה, לציבור, בדבר החובה לגלות ערנות לניסיונות אלו. אזרחים תמימים וישרי דרך אינם מודעים לסכנה הגדולה שהם והמדינה מצויים בה, ואינם מודעים לטכניקות שמופעלות נגדם. כפי שיפורט להלן, הם גם אינם מודעים לכך שמידע פשוט וגלוי – שמידעים משמעותיים וחשובים ממנו בהרבה מפורסמים יום אחר יום באופן ממוסד במדינת ישראל, בתקשורת על צורותיה השונות, ואף בפרסום רשמי של המדינה – יכול להיות לתועלת האויב. את השימוש בהליך הפלילי יש לשמור אם כן, למקרים המתאימים. </w:t>
      </w:r>
    </w:p>
    <w:p w:rsidR="000959FF" w:rsidRPr="000959FF" w:rsidRDefault="000959FF" w:rsidP="000959FF">
      <w:pPr>
        <w:spacing w:line="360" w:lineRule="auto"/>
        <w:jc w:val="both"/>
        <w:rPr>
          <w:rFonts w:ascii="David" w:hAnsi="David" w:cs="David"/>
          <w:b/>
          <w:bCs/>
          <w:rtl/>
        </w:rPr>
      </w:pPr>
      <w:r w:rsidRPr="000959FF">
        <w:rPr>
          <w:rFonts w:ascii="David" w:hAnsi="David" w:cs="David"/>
          <w:b/>
          <w:bCs/>
          <w:rtl/>
        </w:rPr>
        <w:lastRenderedPageBreak/>
        <w:t xml:space="preserve">בתקופה שמיום 9.12.21 עד יום 3.01.22 הוגשו כתבי אישום כנגד ארבע אזרחיות ואזרח נוסף, כולם עולים מאירן, בשל עבירות שונות שביצעו, לפי הטענה, במסגרת קשר שקיימו באמצעות חשבונות פייסבוק וווטצאפ עם אדם שכינה עצמו בשם ראמבוד נמדר. ראמבוד זה, שהוא לפי הנטען פעיל מודיעין איראני, הציג עצמו בפני נאשמות 3-1 כקבלן יהודי אמיד מטהרן. בפני נאשמת 4 הוא הציג עצמו כרווק מוסלמי אמיד מטהרן. </w:t>
      </w:r>
    </w:p>
    <w:p w:rsidR="000959FF" w:rsidRPr="000959FF" w:rsidRDefault="000959FF" w:rsidP="000959FF">
      <w:pPr>
        <w:spacing w:line="360" w:lineRule="auto"/>
        <w:jc w:val="both"/>
        <w:rPr>
          <w:rFonts w:ascii="David" w:hAnsi="David" w:cs="David"/>
          <w:b/>
          <w:bCs/>
          <w:rtl/>
        </w:rPr>
      </w:pPr>
      <w:r w:rsidRPr="000959FF">
        <w:rPr>
          <w:rFonts w:ascii="David" w:hAnsi="David" w:cs="David"/>
          <w:b/>
          <w:bCs/>
          <w:rtl/>
        </w:rPr>
        <w:t>לכל החמישה יוחסה עבירה של מגע עם סוכן חוץ, ולשתיים מתוך החמישה, נאשמות 1 ו-4, יוחסו גם עבירות של מסירת ידיעה העלולה להיות לתועלת האויב לנאשם 5, בעלה של נאשמת 4, יוחסה עבירה אחת של סיוע למסירת ידיעה העלולה להיות לתועלת האויב.</w:t>
      </w:r>
    </w:p>
    <w:p w:rsidR="000959FF" w:rsidRPr="000959FF" w:rsidRDefault="000959FF" w:rsidP="000959FF">
      <w:pPr>
        <w:spacing w:line="360" w:lineRule="auto"/>
        <w:jc w:val="both"/>
        <w:rPr>
          <w:rFonts w:ascii="David" w:hAnsi="David" w:cs="David"/>
          <w:u w:val="single"/>
          <w:rtl/>
        </w:rPr>
      </w:pPr>
      <w:r w:rsidRPr="000959FF">
        <w:rPr>
          <w:rFonts w:ascii="David" w:hAnsi="David" w:cs="David"/>
          <w:u w:val="single"/>
          <w:rtl/>
        </w:rPr>
        <w:t>העבירה של מסירת ידיעות העלולות להיות לתועלת האויב</w:t>
      </w:r>
    </w:p>
    <w:p w:rsidR="000959FF" w:rsidRPr="000959FF" w:rsidRDefault="000959FF" w:rsidP="000959FF">
      <w:pPr>
        <w:spacing w:line="360" w:lineRule="auto"/>
        <w:jc w:val="both"/>
        <w:rPr>
          <w:rFonts w:ascii="David" w:hAnsi="David" w:cs="David"/>
          <w:rtl/>
        </w:rPr>
      </w:pPr>
      <w:r w:rsidRPr="000959FF">
        <w:rPr>
          <w:rFonts w:ascii="David" w:hAnsi="David" w:cs="David"/>
          <w:rtl/>
        </w:rPr>
        <w:t xml:space="preserve">בכל הנוגע </w:t>
      </w:r>
      <w:r w:rsidRPr="000959FF">
        <w:rPr>
          <w:rFonts w:ascii="David" w:hAnsi="David" w:cs="David"/>
          <w:b/>
          <w:bCs/>
          <w:rtl/>
        </w:rPr>
        <w:t>לנאשמת 1</w:t>
      </w:r>
      <w:r w:rsidRPr="000959FF">
        <w:rPr>
          <w:rFonts w:ascii="David" w:hAnsi="David" w:cs="David"/>
          <w:rtl/>
        </w:rPr>
        <w:t xml:space="preserve">, איני סבור כי היא חשדה כי תוכן המידע הנמסר על ידה הוא מידע העלול להיות לתועלת האויב, והיא גם לא עצמה עיניה נוכח אפשרות שכזו. השתכנעתי כי כל התייחסותה של נאשמת 1 לראמבוד, לאורך כל הקשר, הייתה מתוך הבנה זו שמדובר ביהודי שמבקש לשמש עבורה אוזן קשבת נוכח מוצאם המשותף. העובדה כי זיהתה בדף הפייסבוק שלו אנשים שהיא הכירה, הסירה ממנה כל חשש. העובדה כי פעלה לשדך לו את קרובת משפחתה ואף ניסתה לשכנע את ראמבוד להגיע לישראל, מלמדת בעליל, כי היא אכן האמינה בכל לבה כי מדובר ביהודי תושב אירן, ולא חשדה כי מדובר בדמות עוינת. </w:t>
      </w:r>
    </w:p>
    <w:p w:rsidR="000959FF" w:rsidRPr="000959FF" w:rsidRDefault="000959FF" w:rsidP="000959FF">
      <w:pPr>
        <w:spacing w:line="360" w:lineRule="auto"/>
        <w:jc w:val="both"/>
        <w:rPr>
          <w:rFonts w:ascii="David" w:hAnsi="David" w:cs="David"/>
          <w:rtl/>
        </w:rPr>
      </w:pPr>
      <w:r w:rsidRPr="000959FF">
        <w:rPr>
          <w:rFonts w:ascii="David" w:hAnsi="David" w:cs="David"/>
          <w:rtl/>
        </w:rPr>
        <w:t xml:space="preserve">בכל הנוגע </w:t>
      </w:r>
      <w:r w:rsidRPr="000959FF">
        <w:rPr>
          <w:rFonts w:ascii="David" w:hAnsi="David" w:cs="David"/>
          <w:b/>
          <w:bCs/>
          <w:rtl/>
        </w:rPr>
        <w:t>לנאשם 5</w:t>
      </w:r>
      <w:r w:rsidRPr="000959FF">
        <w:rPr>
          <w:rFonts w:ascii="David" w:hAnsi="David" w:cs="David"/>
          <w:rtl/>
        </w:rPr>
        <w:t xml:space="preserve">, איני סבור כי נכון לומר כי תצלום שגרירות ארה"ב בתל-אביב מבחוץ, היא ידיעה שאדם סביר צריך היה להעלות על דעתו כי היא ידיעה ש"עלולה להיות לתועלת האויב". </w:t>
      </w:r>
    </w:p>
    <w:p w:rsidR="000959FF" w:rsidRPr="000959FF" w:rsidRDefault="000959FF" w:rsidP="000959FF">
      <w:pPr>
        <w:spacing w:line="360" w:lineRule="auto"/>
        <w:jc w:val="both"/>
        <w:rPr>
          <w:rFonts w:ascii="David" w:hAnsi="David" w:cs="David"/>
          <w:rtl/>
        </w:rPr>
      </w:pPr>
      <w:r w:rsidRPr="000959FF">
        <w:rPr>
          <w:rFonts w:ascii="David" w:hAnsi="David" w:cs="David"/>
          <w:rtl/>
        </w:rPr>
        <w:t xml:space="preserve">לעומת זאת, בכל הנוגע </w:t>
      </w:r>
      <w:r w:rsidRPr="000959FF">
        <w:rPr>
          <w:rFonts w:ascii="David" w:hAnsi="David" w:cs="David"/>
          <w:b/>
          <w:bCs/>
          <w:rtl/>
        </w:rPr>
        <w:t>לנאשמת 4</w:t>
      </w:r>
      <w:r w:rsidRPr="000959FF">
        <w:rPr>
          <w:rFonts w:ascii="David" w:hAnsi="David" w:cs="David"/>
          <w:rtl/>
        </w:rPr>
        <w:t xml:space="preserve">, אכן יש לא מעט מידעים שנמסרו על ידה לראמבוד שהיא הייתה צריכה להעלות על דעתה שהם עלולים להיות לתועלת האויב. זאת בפרט נוכח העובדה כי לנאשמת זו ראמבוד הציג עצמו כמוסלמי, ובעיקר כשנאשמת זו חשדה באופן ממשי, ומדבריה אף עלה כי ידעה, ולמצער האמינה באופן ממשי, כי לראמבוד קשר עם גופי שלטון באירן. היא אמנם לא ידעה </w:t>
      </w:r>
      <w:r w:rsidRPr="000959FF">
        <w:rPr>
          <w:rFonts w:ascii="David" w:hAnsi="David" w:cs="David"/>
          <w:b/>
          <w:bCs/>
          <w:rtl/>
        </w:rPr>
        <w:t>בוודאות</w:t>
      </w:r>
      <w:r w:rsidRPr="000959FF">
        <w:rPr>
          <w:rFonts w:ascii="David" w:hAnsi="David" w:cs="David"/>
          <w:rtl/>
        </w:rPr>
        <w:t xml:space="preserve"> שמדובר במי שעובד מטעם האויב, אך לא זהו המבחן, ומדבריה שלה עלה כי היא חשדה שמדובר במי שקשור בדרך כלשהי למשטר. בנסיבות אלו, גם מידע שאין לראותו כמידע העלול להיות לתועלת האויב כלשעצמו, יש לראותו ככזה, שעה שהוא מועבר לידי מי שהמעביר מכיר בו כגורם המחובר לשלטון האיראני. </w:t>
      </w:r>
    </w:p>
    <w:p w:rsidR="000959FF" w:rsidRPr="000959FF" w:rsidRDefault="000959FF" w:rsidP="000959FF">
      <w:pPr>
        <w:spacing w:line="360" w:lineRule="auto"/>
        <w:jc w:val="both"/>
        <w:rPr>
          <w:rFonts w:ascii="David" w:hAnsi="David" w:cs="David"/>
          <w:b/>
          <w:bCs/>
          <w:rtl/>
        </w:rPr>
      </w:pPr>
    </w:p>
    <w:p w:rsidR="000959FF" w:rsidRPr="000959FF" w:rsidRDefault="000959FF" w:rsidP="000959FF">
      <w:pPr>
        <w:spacing w:line="360" w:lineRule="auto"/>
        <w:jc w:val="both"/>
        <w:rPr>
          <w:rFonts w:ascii="David" w:hAnsi="David" w:cs="David"/>
          <w:b/>
          <w:bCs/>
          <w:rtl/>
        </w:rPr>
      </w:pPr>
      <w:r w:rsidRPr="000959FF">
        <w:rPr>
          <w:rFonts w:ascii="David" w:hAnsi="David" w:cs="David"/>
          <w:rtl/>
        </w:rPr>
        <w:t xml:space="preserve">אין ספק כי אירן הייתה והינה מדינת אויב. היא רואה במדינת ישראל אויב ושואפת לחיסולה במאבק מזוין. היא מסייעת כספית לארגוני החבלה – החיזבאללה והחמאס. השאלה הדורשת הכרעה במקרה זה היא מיהו אותו "ראמבוד", האם הוא אכן פעל מטעם שלטונות אירן, האם היה לו קשר עמם. </w:t>
      </w:r>
      <w:r w:rsidRPr="000959FF">
        <w:rPr>
          <w:rFonts w:ascii="David" w:hAnsi="David" w:cs="David"/>
          <w:b/>
          <w:bCs/>
          <w:rtl/>
        </w:rPr>
        <w:t>לא הוכחו כלל הנסיבות הנדרשות להרשעת מי מהנאשמים בעבירה של מסירת ידיעה לאויב שיוחסה להם ולא הוכח במידה הנדרשת כי ראמבוד אכן פעל מטעם "אויב"</w:t>
      </w:r>
      <w:r>
        <w:rPr>
          <w:rFonts w:ascii="David" w:hAnsi="David" w:cs="David" w:hint="cs"/>
          <w:b/>
          <w:bCs/>
          <w:rtl/>
        </w:rPr>
        <w:t xml:space="preserve"> </w:t>
      </w:r>
      <w:r w:rsidRPr="000959FF">
        <w:rPr>
          <w:rFonts w:ascii="David" w:hAnsi="David" w:cs="David"/>
          <w:b/>
          <w:bCs/>
          <w:rtl/>
        </w:rPr>
        <w:t xml:space="preserve">שכן לא נשללו האפשרויות כי הוא פעל מטעם גורם מודיעיני אחר ולא מטעם אירן, או שמא בכלל מדובר במתחזה. </w:t>
      </w:r>
    </w:p>
    <w:p w:rsidR="000959FF" w:rsidRPr="000959FF" w:rsidRDefault="000959FF" w:rsidP="000959FF">
      <w:pPr>
        <w:spacing w:line="360" w:lineRule="auto"/>
        <w:jc w:val="both"/>
        <w:rPr>
          <w:rFonts w:ascii="David" w:hAnsi="David" w:cs="David"/>
          <w:rtl/>
        </w:rPr>
      </w:pPr>
    </w:p>
    <w:p w:rsidR="000959FF" w:rsidRPr="000959FF" w:rsidRDefault="000959FF" w:rsidP="000959FF">
      <w:pPr>
        <w:spacing w:line="360" w:lineRule="auto"/>
        <w:jc w:val="both"/>
        <w:rPr>
          <w:rFonts w:ascii="David" w:hAnsi="David" w:cs="David"/>
          <w:u w:val="single"/>
          <w:rtl/>
        </w:rPr>
      </w:pPr>
      <w:r w:rsidRPr="000959FF">
        <w:rPr>
          <w:rFonts w:ascii="David" w:hAnsi="David" w:cs="David"/>
          <w:u w:val="single"/>
          <w:rtl/>
        </w:rPr>
        <w:t>העבירה של מגע עם סוכן חוץ</w:t>
      </w:r>
    </w:p>
    <w:p w:rsidR="000959FF" w:rsidRPr="000959FF" w:rsidRDefault="000959FF" w:rsidP="000959FF">
      <w:pPr>
        <w:spacing w:line="360" w:lineRule="auto"/>
        <w:jc w:val="both"/>
        <w:rPr>
          <w:rFonts w:ascii="David" w:hAnsi="David" w:cs="David"/>
          <w:rtl/>
        </w:rPr>
      </w:pPr>
      <w:r w:rsidRPr="000959FF">
        <w:rPr>
          <w:rFonts w:ascii="David" w:hAnsi="David" w:cs="David"/>
          <w:rtl/>
        </w:rPr>
        <w:t>במקרה זה אין מחלוקת על התקיימות הרכיב הראשון – קיומו של מגע. לעניין עבירה זו, אין צורך להוכיח שמקבל המידע הוא סוכן חוץ, ודי בכך שקיים יסוד סביר לחשוד בו שהוא סוכן חוץ, שעסק, או נשלח לעסוק מטעם מדינת חוץ או למענה באיסוף ידיעות סודיות או מעשים אחרים העשויים לפגוע בביטחון המדינה.</w:t>
      </w:r>
    </w:p>
    <w:p w:rsidR="000959FF" w:rsidRPr="000959FF" w:rsidRDefault="000959FF" w:rsidP="000959FF">
      <w:pPr>
        <w:spacing w:line="360" w:lineRule="auto"/>
        <w:jc w:val="both"/>
        <w:rPr>
          <w:rFonts w:ascii="David" w:hAnsi="David" w:cs="David"/>
          <w:rtl/>
        </w:rPr>
      </w:pPr>
      <w:r w:rsidRPr="000959FF">
        <w:rPr>
          <w:rFonts w:ascii="David" w:hAnsi="David" w:cs="David"/>
          <w:rtl/>
        </w:rPr>
        <w:lastRenderedPageBreak/>
        <w:t>בכל הנוגע ל</w:t>
      </w:r>
      <w:r w:rsidRPr="000959FF">
        <w:rPr>
          <w:rFonts w:ascii="David" w:hAnsi="David" w:cs="David"/>
          <w:b/>
          <w:bCs/>
          <w:rtl/>
        </w:rPr>
        <w:t>נאשמת 1</w:t>
      </w:r>
      <w:r w:rsidRPr="000959FF">
        <w:rPr>
          <w:rFonts w:ascii="David" w:hAnsi="David" w:cs="David"/>
          <w:rtl/>
        </w:rPr>
        <w:t>, איני סבור כי בנסיבות העניין, לא ניתן לומר שמכלול הנתונים שעמדו בפני הנאשמת היו צריכים לעורר אצלה חשד כי ראמבוד הוא סוכן חוץ שעסק, או שנשלח לעסוק מטעם מדינת חוץ כלשהי באיסוף ידיעות סודיות או מעשים אחרים העשויים לפגוע בביטחון המדינה. לא ניתן אפוא לומר כי הנסיבות עליהן הצביעה המאשימה, היו צריכות לעורר אצל נאשמת 1, לפי מבחן אובייקטיבי של סבירות, יסוד סביר לחשד כי מדובר ב"סוכן חוץ".</w:t>
      </w:r>
    </w:p>
    <w:p w:rsidR="000959FF" w:rsidRPr="000959FF" w:rsidRDefault="000959FF" w:rsidP="000959FF">
      <w:pPr>
        <w:spacing w:line="360" w:lineRule="auto"/>
        <w:jc w:val="both"/>
        <w:rPr>
          <w:rFonts w:ascii="David" w:hAnsi="David" w:cs="David"/>
          <w:rtl/>
        </w:rPr>
      </w:pPr>
      <w:r w:rsidRPr="000959FF">
        <w:rPr>
          <w:rFonts w:ascii="David" w:hAnsi="David" w:cs="David"/>
          <w:rtl/>
        </w:rPr>
        <w:t>לעומת זאת, בכל הנוגע ל</w:t>
      </w:r>
      <w:r w:rsidRPr="000959FF">
        <w:rPr>
          <w:rFonts w:ascii="David" w:hAnsi="David" w:cs="David"/>
          <w:b/>
          <w:bCs/>
          <w:rtl/>
        </w:rPr>
        <w:t>נאשמת 4</w:t>
      </w:r>
      <w:r w:rsidRPr="000959FF">
        <w:rPr>
          <w:rFonts w:ascii="David" w:hAnsi="David" w:cs="David"/>
          <w:rtl/>
        </w:rPr>
        <w:t xml:space="preserve">, היה צריך להתעורר חשד שכזה נוכח בקשותיו השונות של ראמבוד, וכפי שאכן התעורר חשד שכזה נוכח בקשות אלו אצל נאשמת 4, חשד של ממש כי ייתכן ויש לו קשר עם גורמים איראניים עוינים. בנסיבות אלו, היא בוודאי הייתה צריכה לחשוד כי ייתכן שראמבוד הוא סוכן חוץ שעסק, או שנשלח לעסוק מטעם מדינת חוץ באיסוף ידיעות סודיות או מעשים אחרים העשויים לפגוע בביטחון המדינה. נאשמת 4 לא התכוונה לפגוע בביטחון המדינה. ככלל, היא נזהרה מהעברת כל מידע אשר סברה, בראייתה שלה, כי הוא יכול להביא בדרך כלשהי לפגיעה בביטחון המדינה, והיא העבירה רק מידע שסברה כי הוא מידע גלוי שכל אחד יכול למצאו במרשתת. </w:t>
      </w:r>
    </w:p>
    <w:p w:rsidR="000959FF" w:rsidRPr="000959FF" w:rsidRDefault="000959FF" w:rsidP="000959FF">
      <w:pPr>
        <w:spacing w:line="360" w:lineRule="auto"/>
        <w:jc w:val="both"/>
        <w:rPr>
          <w:rFonts w:ascii="David" w:hAnsi="David" w:cs="David"/>
          <w:rtl/>
        </w:rPr>
      </w:pPr>
    </w:p>
    <w:p w:rsidR="000959FF" w:rsidRPr="000959FF" w:rsidRDefault="000959FF" w:rsidP="000959FF">
      <w:pPr>
        <w:spacing w:line="360" w:lineRule="auto"/>
        <w:jc w:val="both"/>
        <w:rPr>
          <w:rFonts w:ascii="David" w:hAnsi="David" w:cs="David"/>
          <w:b/>
          <w:bCs/>
          <w:rtl/>
        </w:rPr>
      </w:pPr>
      <w:r w:rsidRPr="000959FF">
        <w:rPr>
          <w:rFonts w:ascii="David" w:hAnsi="David" w:cs="David"/>
          <w:b/>
          <w:bCs/>
          <w:rtl/>
        </w:rPr>
        <w:t xml:space="preserve">סופו של יום אפוא, וכאמור בפתיחה – אני מזכה את נאשמת 1 ונאשם 5 מהעבירות שיוחסו להם בכתב האישום. אני מזכה את נאשמת 4 מהעבירה של מסירת ידיעות לאויב שיוחסה לה, אך מרשיע אותה בעבירה של מגע עם סוכן חוץ. </w:t>
      </w:r>
    </w:p>
    <w:p w:rsidR="000959FF" w:rsidRPr="000959FF" w:rsidRDefault="000959FF" w:rsidP="000959FF">
      <w:pPr>
        <w:spacing w:line="360" w:lineRule="auto"/>
        <w:jc w:val="both"/>
        <w:rPr>
          <w:rFonts w:ascii="David" w:hAnsi="David" w:cs="David"/>
        </w:rPr>
      </w:pPr>
    </w:p>
    <w:p w:rsidR="00541C9E" w:rsidRPr="000959FF" w:rsidRDefault="00541C9E" w:rsidP="00541C9E">
      <w:pPr>
        <w:spacing w:after="120" w:line="360" w:lineRule="auto"/>
        <w:jc w:val="both"/>
        <w:rPr>
          <w:rFonts w:ascii="David" w:hAnsi="David" w:cs="David"/>
          <w:color w:val="323E4F" w:themeColor="text2" w:themeShade="BF"/>
          <w:rtl/>
        </w:rPr>
      </w:pPr>
    </w:p>
    <w:p w:rsidR="00541C9E" w:rsidRPr="000959FF" w:rsidRDefault="00541C9E" w:rsidP="00541C9E">
      <w:pPr>
        <w:spacing w:after="120" w:line="360" w:lineRule="auto"/>
        <w:jc w:val="both"/>
        <w:rPr>
          <w:rFonts w:ascii="David" w:hAnsi="David" w:cs="David"/>
          <w:color w:val="323E4F" w:themeColor="text2" w:themeShade="BF"/>
          <w:rtl/>
        </w:rPr>
      </w:pPr>
    </w:p>
    <w:p w:rsidR="00541C9E" w:rsidRPr="000959FF" w:rsidRDefault="00541C9E" w:rsidP="00541C9E">
      <w:pPr>
        <w:spacing w:after="120" w:line="360" w:lineRule="auto"/>
        <w:jc w:val="both"/>
        <w:rPr>
          <w:rFonts w:ascii="David" w:hAnsi="David" w:cs="David"/>
          <w:color w:val="323E4F" w:themeColor="text2" w:themeShade="BF"/>
        </w:rPr>
      </w:pPr>
    </w:p>
    <w:p w:rsidR="00541C9E" w:rsidRPr="000959FF" w:rsidRDefault="00541C9E" w:rsidP="00541C9E">
      <w:pPr>
        <w:spacing w:after="120" w:line="360" w:lineRule="auto"/>
        <w:jc w:val="both"/>
        <w:rPr>
          <w:rFonts w:ascii="David" w:hAnsi="David" w:cs="David"/>
          <w:color w:val="323E4F" w:themeColor="text2" w:themeShade="BF"/>
          <w:rtl/>
        </w:rPr>
      </w:pPr>
    </w:p>
    <w:p w:rsidR="00541C9E" w:rsidRPr="000959FF" w:rsidRDefault="00541C9E" w:rsidP="00541C9E">
      <w:pPr>
        <w:spacing w:after="120" w:line="360" w:lineRule="auto"/>
        <w:jc w:val="center"/>
        <w:rPr>
          <w:rFonts w:ascii="David" w:hAnsi="David" w:cs="David"/>
          <w:b/>
          <w:bCs/>
          <w:color w:val="002060"/>
        </w:rPr>
      </w:pPr>
      <w:r w:rsidRPr="000959FF">
        <w:rPr>
          <w:rFonts w:ascii="David" w:hAnsi="David" w:cs="David"/>
          <w:b/>
          <w:bCs/>
          <w:color w:val="002060"/>
          <w:rtl/>
        </w:rPr>
        <w:t>*** התקציר אינו בא להחליף את פסק-הדין, הנוסח המחייב הוא זה של פסק-הדין המלא ***</w:t>
      </w:r>
    </w:p>
    <w:p w:rsidR="00515986" w:rsidRPr="000959FF" w:rsidRDefault="00515986" w:rsidP="000C4D75">
      <w:pPr>
        <w:tabs>
          <w:tab w:val="num" w:pos="1080"/>
        </w:tabs>
        <w:spacing w:after="0" w:line="276" w:lineRule="auto"/>
        <w:jc w:val="both"/>
        <w:rPr>
          <w:rFonts w:ascii="David" w:eastAsia="Times New Roman" w:hAnsi="David" w:cs="David"/>
          <w:b/>
          <w:bCs/>
          <w:rtl/>
        </w:rPr>
      </w:pPr>
    </w:p>
    <w:p w:rsidR="00515986" w:rsidRPr="000959FF" w:rsidRDefault="00515986" w:rsidP="000C4D75">
      <w:pPr>
        <w:tabs>
          <w:tab w:val="num" w:pos="1080"/>
        </w:tabs>
        <w:spacing w:after="0" w:line="276" w:lineRule="auto"/>
        <w:jc w:val="both"/>
        <w:rPr>
          <w:rFonts w:ascii="David" w:eastAsia="Times New Roman" w:hAnsi="David" w:cs="David"/>
          <w:b/>
          <w:bCs/>
          <w:rtl/>
        </w:rPr>
      </w:pPr>
    </w:p>
    <w:p w:rsidR="002453CF" w:rsidRPr="000959FF" w:rsidRDefault="002453CF" w:rsidP="007B7899">
      <w:pPr>
        <w:spacing w:before="100" w:beforeAutospacing="1" w:after="100" w:afterAutospacing="1" w:line="240" w:lineRule="auto"/>
        <w:ind w:left="4320"/>
        <w:jc w:val="both"/>
        <w:rPr>
          <w:rFonts w:ascii="David" w:eastAsia="Times New Roman" w:hAnsi="David" w:cs="David"/>
          <w:b/>
          <w:bCs/>
          <w:color w:val="002060"/>
          <w:rtl/>
        </w:rPr>
      </w:pPr>
    </w:p>
    <w:sectPr w:rsidR="002453CF" w:rsidRPr="000959FF" w:rsidSect="002A5324">
      <w:headerReference w:type="default" r:id="rId8"/>
      <w:footerReference w:type="default" r:id="rId9"/>
      <w:pgSz w:w="11906" w:h="16838"/>
      <w:pgMar w:top="1021" w:right="1418" w:bottom="1021" w:left="1418"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0CA1" w:rsidRDefault="00730CA1" w:rsidP="00730CA1">
      <w:pPr>
        <w:spacing w:after="0" w:line="240" w:lineRule="auto"/>
      </w:pPr>
      <w:r>
        <w:separator/>
      </w:r>
    </w:p>
  </w:endnote>
  <w:endnote w:type="continuationSeparator" w:id="0">
    <w:p w:rsidR="00730CA1" w:rsidRDefault="00730CA1"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C9E" w:rsidRPr="003C61AF" w:rsidRDefault="00541C9E" w:rsidP="00541C9E">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C61AF">
      <w:rPr>
        <w:rFonts w:ascii="Times New Roman" w:eastAsia="Times New Roman" w:hAnsi="Times New Roman" w:cs="FrankRuehl"/>
        <w:b/>
        <w:bCs/>
        <w:color w:val="000080"/>
        <w:spacing w:val="6"/>
        <w:sz w:val="24"/>
        <w:szCs w:val="24"/>
        <w:rtl/>
      </w:rPr>
      <w:t>________________________________________________________________</w:t>
    </w:r>
  </w:p>
  <w:p w:rsidR="00541C9E" w:rsidRPr="003C61AF"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Pr>
        <w:rFonts w:ascii="Times New Roman" w:eastAsia="Times New Roman" w:hAnsi="Times New Roman" w:cs="FrankRuehl" w:hint="cs"/>
        <w:b/>
        <w:bCs/>
        <w:color w:val="000080"/>
        <w:spacing w:val="6"/>
        <w:sz w:val="24"/>
        <w:szCs w:val="24"/>
        <w:rtl/>
      </w:rPr>
      <w:t>בית משפט העליון | רחוב דרך השופט מאיר שמגר 1 | קרית בן גוריון |</w:t>
    </w:r>
    <w:r w:rsidRPr="003C61AF">
      <w:rPr>
        <w:rFonts w:ascii="Times New Roman" w:eastAsia="Times New Roman" w:hAnsi="Times New Roman" w:cs="FrankRuehl" w:hint="cs"/>
        <w:b/>
        <w:bCs/>
        <w:color w:val="000080"/>
        <w:spacing w:val="6"/>
        <w:sz w:val="24"/>
        <w:szCs w:val="24"/>
        <w:rtl/>
      </w:rPr>
      <w:t xml:space="preserve"> ירושלים</w:t>
    </w:r>
  </w:p>
  <w:p w:rsidR="003C61AF" w:rsidRPr="00541C9E"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Pr>
    </w:pPr>
    <w:r w:rsidRPr="003C61AF">
      <w:rPr>
        <w:rFonts w:ascii="Times New Roman" w:eastAsia="Times New Roman" w:hAnsi="Times New Roman" w:cs="FrankRuehl" w:hint="cs"/>
        <w:b/>
        <w:bCs/>
        <w:color w:val="000080"/>
        <w:spacing w:val="6"/>
        <w:sz w:val="24"/>
        <w:szCs w:val="24"/>
        <w:rtl/>
      </w:rPr>
      <w:t xml:space="preserve">טל: </w:t>
    </w:r>
    <w:r w:rsidRPr="003C61AF">
      <w:rPr>
        <w:rFonts w:ascii="Times New Roman" w:eastAsia="Times New Roman" w:hAnsi="Times New Roman" w:cs="FrankRuehl"/>
        <w:b/>
        <w:bCs/>
        <w:color w:val="000080"/>
        <w:spacing w:val="6"/>
        <w:sz w:val="24"/>
        <w:szCs w:val="24"/>
      </w:rPr>
      <w:t>074-7480412</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דוא"ל</w:t>
    </w:r>
    <w:r w:rsidRPr="003C61AF">
      <w:rPr>
        <w:rFonts w:ascii="Times New Roman" w:eastAsia="Times New Roman" w:hAnsi="Times New Roman" w:cs="FrankRuehl"/>
        <w:b/>
        <w:bCs/>
        <w:color w:val="000080"/>
        <w:spacing w:val="6"/>
        <w:sz w:val="24"/>
        <w:szCs w:val="24"/>
      </w:rPr>
      <w:t>:</w:t>
    </w:r>
    <w:r w:rsidRPr="003C61AF">
      <w:rPr>
        <w:rFonts w:ascii="Times New Roman" w:eastAsia="Times New Roman" w:hAnsi="Times New Roman" w:cs="FrankRuehl" w:hint="cs"/>
        <w:b/>
        <w:bCs/>
        <w:color w:val="000080"/>
        <w:spacing w:val="6"/>
        <w:sz w:val="24"/>
        <w:szCs w:val="24"/>
        <w:rtl/>
      </w:rPr>
      <w:t xml:space="preserve">  </w:t>
    </w:r>
    <w:hyperlink r:id="rId1" w:history="1">
      <w:r w:rsidRPr="003C61AF">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0CA1" w:rsidRDefault="00730CA1" w:rsidP="00730CA1">
      <w:pPr>
        <w:spacing w:after="0" w:line="240" w:lineRule="auto"/>
      </w:pPr>
      <w:r>
        <w:separator/>
      </w:r>
    </w:p>
  </w:footnote>
  <w:footnote w:type="continuationSeparator" w:id="0">
    <w:p w:rsidR="00730CA1" w:rsidRDefault="00730CA1"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523875" cy="619125"/>
          <wp:effectExtent l="0" t="0" r="9525" b="9525"/>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rtl/>
        <w:lang w:eastAsia="he-IL"/>
      </w:rPr>
    </w:pPr>
    <w:r w:rsidRPr="005253B2">
      <w:rPr>
        <w:rFonts w:ascii="Times New Roman" w:eastAsia="Times New Roman" w:hAnsi="Times New Roman" w:cs="FrankRuehl" w:hint="cs"/>
        <w:b/>
        <w:bCs/>
        <w:color w:val="000080"/>
        <w:spacing w:val="6"/>
        <w:sz w:val="28"/>
        <w:szCs w:val="28"/>
        <w:rtl/>
        <w:lang w:eastAsia="he-IL"/>
      </w:rPr>
      <w:t>מערכת בתי המשפט</w:t>
    </w:r>
  </w:p>
  <w:p w:rsidR="007007D7"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lang w:eastAsia="he-IL"/>
      </w:rPr>
    </w:pPr>
    <w:r w:rsidRPr="005253B2">
      <w:rPr>
        <w:rFonts w:ascii="Times New Roman" w:eastAsia="Times New Roman" w:hAnsi="Times New Roman" w:cs="FrankRuehl" w:hint="cs"/>
        <w:b/>
        <w:bCs/>
        <w:color w:val="000080"/>
        <w:spacing w:val="6"/>
        <w:sz w:val="28"/>
        <w:szCs w:val="28"/>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959FF"/>
    <w:rsid w:val="000C4D75"/>
    <w:rsid w:val="001D42A7"/>
    <w:rsid w:val="002453CF"/>
    <w:rsid w:val="002A5324"/>
    <w:rsid w:val="002C0E83"/>
    <w:rsid w:val="003921C3"/>
    <w:rsid w:val="003C61AF"/>
    <w:rsid w:val="003E1078"/>
    <w:rsid w:val="003E6E39"/>
    <w:rsid w:val="003E7EB7"/>
    <w:rsid w:val="00425EFF"/>
    <w:rsid w:val="00426AA7"/>
    <w:rsid w:val="00515986"/>
    <w:rsid w:val="005253B2"/>
    <w:rsid w:val="00541C9E"/>
    <w:rsid w:val="00631744"/>
    <w:rsid w:val="00690B6F"/>
    <w:rsid w:val="006B7B96"/>
    <w:rsid w:val="006C3B1F"/>
    <w:rsid w:val="006F1E1F"/>
    <w:rsid w:val="007007D7"/>
    <w:rsid w:val="00711675"/>
    <w:rsid w:val="00730CA1"/>
    <w:rsid w:val="007B7899"/>
    <w:rsid w:val="00832AD7"/>
    <w:rsid w:val="008C02E0"/>
    <w:rsid w:val="00983123"/>
    <w:rsid w:val="009E5C0E"/>
    <w:rsid w:val="00AD7644"/>
    <w:rsid w:val="00B16422"/>
    <w:rsid w:val="00B22AFC"/>
    <w:rsid w:val="00BA3143"/>
    <w:rsid w:val="00C22E08"/>
    <w:rsid w:val="00C37F37"/>
    <w:rsid w:val="00C50C55"/>
    <w:rsid w:val="00C529CC"/>
    <w:rsid w:val="00C842A7"/>
    <w:rsid w:val="00C85A27"/>
    <w:rsid w:val="00CA2D6A"/>
    <w:rsid w:val="00CB4940"/>
    <w:rsid w:val="00CD280B"/>
    <w:rsid w:val="00D11F77"/>
    <w:rsid w:val="00D205AB"/>
    <w:rsid w:val="00D43C0E"/>
    <w:rsid w:val="00D5319F"/>
    <w:rsid w:val="00E35DF3"/>
    <w:rsid w:val="00EB6609"/>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489955DE-1CE9-4589-B002-D562A3B405D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1285</Words>
  <Characters>6425</Characters>
  <Application>Microsoft Office Word</Application>
  <DocSecurity>4</DocSecurity>
  <Lines>53</Lines>
  <Paragraphs>15</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אטל אזרואל</cp:lastModifiedBy>
  <cp:revision>2</cp:revision>
  <cp:lastPrinted>2017-11-13T12:38:00Z</cp:lastPrinted>
  <dcterms:created xsi:type="dcterms:W3CDTF">2023-08-09T07:51:00Z</dcterms:created>
  <dcterms:modified xsi:type="dcterms:W3CDTF">2023-08-09T07:51:00Z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09 באוגוסט 2023</vt:lpwstr>
  </property>
  <property fmtid="{D5CDD505-2E9C-101B-9397-08002B2CF9AE}" pid="3" name="DocDateHeb">
    <vt:lpwstr>כ"ב באב תשפ"ג</vt:lpwstr>
  </property>
  <property fmtid="{D5CDD505-2E9C-101B-9397-08002B2CF9AE}" pid="4" name="DocNumber">
    <vt:lpwstr>4700-1039-2023-007051</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הכרעת דין בתיק ת"פ 20614-12-21 מדינת ישראל נגד פלונית, השופט אילן סלע</vt:lpwstr>
  </property>
</Properties>
</file>